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5C" w:rsidRDefault="00DA6197" w:rsidP="00F8065C">
      <w:pPr>
        <w:pStyle w:val="Default"/>
      </w:pPr>
      <w:r>
        <w:rPr>
          <w:noProof/>
        </w:rPr>
        <w:object w:dxaOrig="1440" w:dyaOrig="1440" w14:anchorId="3B231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6pt;width:125.5pt;height:27.1pt;z-index:251658240">
            <v:imagedata r:id="rId5" o:title=""/>
            <w10:wrap type="square"/>
          </v:shape>
          <o:OLEObject Type="Embed" ProgID="Word.Picture.8" ShapeID="_x0000_s1026" DrawAspect="Content" ObjectID="_1599913722" r:id="rId6"/>
        </w:object>
      </w:r>
    </w:p>
    <w:p w:rsidR="00F8065C" w:rsidRDefault="00F8065C" w:rsidP="00F8065C"/>
    <w:p w:rsidR="00F8065C" w:rsidRPr="00E84485" w:rsidRDefault="00F8065C" w:rsidP="00F8065C">
      <w:pPr>
        <w:rPr>
          <w:rFonts w:ascii="Times New Roman" w:hAnsi="Times New Roman" w:cs="Times New Roman"/>
          <w:b/>
        </w:rPr>
      </w:pPr>
      <w:r w:rsidRPr="00E84485">
        <w:rPr>
          <w:rFonts w:ascii="Times New Roman" w:hAnsi="Times New Roman" w:cs="Times New Roman"/>
          <w:b/>
        </w:rPr>
        <w:t xml:space="preserve">Brigham and Women’s Hospital Medicine and Global Health faculty position </w:t>
      </w:r>
      <w:r w:rsidRPr="00E84485">
        <w:rPr>
          <w:rFonts w:ascii="Times New Roman" w:hAnsi="Times New Roman" w:cs="Times New Roman"/>
          <w:b/>
        </w:rPr>
        <w:br/>
        <w:t>Hospital Medicine/Global Health Track</w:t>
      </w:r>
    </w:p>
    <w:p w:rsidR="00CC12C9" w:rsidRPr="007565AC" w:rsidRDefault="00CC12C9" w:rsidP="00CC12C9">
      <w:pPr>
        <w:pStyle w:val="Default"/>
        <w:rPr>
          <w:rFonts w:ascii="Times New Roman" w:hAnsi="Times New Roman" w:cs="Times New Roman"/>
          <w:sz w:val="22"/>
          <w:szCs w:val="22"/>
        </w:rPr>
      </w:pPr>
    </w:p>
    <w:p w:rsidR="00CC12C9" w:rsidRPr="007565AC" w:rsidRDefault="00CC12C9" w:rsidP="00CC12C9">
      <w:pPr>
        <w:rPr>
          <w:rFonts w:ascii="Times New Roman" w:hAnsi="Times New Roman" w:cs="Times New Roman"/>
        </w:rPr>
      </w:pPr>
      <w:r w:rsidRPr="007565AC">
        <w:rPr>
          <w:rFonts w:ascii="Times New Roman" w:hAnsi="Times New Roman" w:cs="Times New Roman"/>
        </w:rPr>
        <w:t>Brigham and Women’s Hospital has long been a leader in both Hospital Medicine and Global Health. The Hospital Medicine Unit, within the Division of General Internal Medicine, under the direction of Dr. Christopher Roy, is one of the largest and oldest academic hospital medicine units in the country. The Division of Global Health Equity, under the direction of Dr. Paul Farmer, is one of the most respected academic global health departments anywhere in the world.</w:t>
      </w:r>
    </w:p>
    <w:p w:rsidR="00CC12C9" w:rsidRPr="007565AC" w:rsidRDefault="00CC12C9" w:rsidP="00CC12C9">
      <w:pPr>
        <w:rPr>
          <w:rFonts w:ascii="Times New Roman" w:hAnsi="Times New Roman" w:cs="Times New Roman"/>
        </w:rPr>
      </w:pPr>
      <w:r w:rsidRPr="007565AC">
        <w:rPr>
          <w:rFonts w:ascii="Times New Roman" w:hAnsi="Times New Roman" w:cs="Times New Roman"/>
          <w:b/>
        </w:rPr>
        <w:t>The position:</w:t>
      </w:r>
      <w:r w:rsidRPr="007565AC">
        <w:rPr>
          <w:rFonts w:ascii="Times New Roman" w:hAnsi="Times New Roman" w:cs="Times New Roman"/>
        </w:rPr>
        <w:t xml:space="preserve"> </w:t>
      </w:r>
      <w:r w:rsidRPr="007565AC">
        <w:rPr>
          <w:rFonts w:ascii="Times New Roman" w:hAnsi="Times New Roman" w:cs="Times New Roman"/>
        </w:rPr>
        <w:br/>
        <w:t xml:space="preserve">This is a highly customizable faculty track, including clinical work at Brigham and Women’s Hospital, opportunities for global health research and field work, didactics, and career mentorship. The position allows the well-qualified applicant to benefit from resources offered both within Hospital Medicine and Global Health Equities. The candidate will also </w:t>
      </w:r>
      <w:proofErr w:type="gramStart"/>
      <w:r w:rsidRPr="007565AC">
        <w:rPr>
          <w:rFonts w:ascii="Times New Roman" w:hAnsi="Times New Roman" w:cs="Times New Roman"/>
        </w:rPr>
        <w:t>have the opportunity to</w:t>
      </w:r>
      <w:proofErr w:type="gramEnd"/>
      <w:r w:rsidRPr="007565AC">
        <w:rPr>
          <w:rFonts w:ascii="Times New Roman" w:hAnsi="Times New Roman" w:cs="Times New Roman"/>
        </w:rPr>
        <w:t xml:space="preserve"> care for vulnerable patients and populations across a wide variety of settings, including urban Boston and globally.</w:t>
      </w:r>
      <w:r w:rsidR="00994207">
        <w:rPr>
          <w:rFonts w:ascii="Times New Roman" w:hAnsi="Times New Roman" w:cs="Times New Roman"/>
        </w:rPr>
        <w:t xml:space="preserve"> </w:t>
      </w:r>
      <w:r w:rsidRPr="007565AC">
        <w:rPr>
          <w:rFonts w:ascii="Times New Roman" w:hAnsi="Times New Roman" w:cs="Times New Roman"/>
        </w:rPr>
        <w:t xml:space="preserve">The position requires the following clinical commitments: </w:t>
      </w:r>
    </w:p>
    <w:p w:rsidR="00CC12C9" w:rsidRPr="007565AC" w:rsidRDefault="00CC12C9" w:rsidP="00CC12C9">
      <w:pPr>
        <w:pStyle w:val="Default"/>
        <w:numPr>
          <w:ilvl w:val="0"/>
          <w:numId w:val="1"/>
        </w:numPr>
        <w:rPr>
          <w:rFonts w:ascii="Times New Roman" w:hAnsi="Times New Roman" w:cs="Times New Roman"/>
          <w:sz w:val="22"/>
          <w:szCs w:val="22"/>
        </w:rPr>
      </w:pPr>
      <w:r w:rsidRPr="007565AC">
        <w:rPr>
          <w:rFonts w:ascii="Times New Roman" w:hAnsi="Times New Roman" w:cs="Times New Roman"/>
          <w:sz w:val="22"/>
          <w:szCs w:val="22"/>
        </w:rPr>
        <w:t>0.5 FTE in Hospital Medicine primarily consisting of direct care shifts on the medicine services,</w:t>
      </w:r>
    </w:p>
    <w:p w:rsidR="00CC12C9" w:rsidRPr="007565AC" w:rsidRDefault="00CC12C9" w:rsidP="00CC12C9">
      <w:pPr>
        <w:pStyle w:val="Default"/>
        <w:numPr>
          <w:ilvl w:val="0"/>
          <w:numId w:val="1"/>
        </w:numPr>
        <w:rPr>
          <w:rFonts w:ascii="Times New Roman" w:hAnsi="Times New Roman" w:cs="Times New Roman"/>
          <w:sz w:val="22"/>
          <w:szCs w:val="22"/>
        </w:rPr>
      </w:pPr>
      <w:r w:rsidRPr="007565AC">
        <w:rPr>
          <w:rFonts w:ascii="Times New Roman" w:hAnsi="Times New Roman" w:cs="Times New Roman"/>
          <w:sz w:val="22"/>
          <w:szCs w:val="22"/>
        </w:rPr>
        <w:t xml:space="preserve">an additional 2-week daytime academic teaching block with a flexible </w:t>
      </w:r>
      <w:proofErr w:type="gramStart"/>
      <w:r w:rsidRPr="007565AC">
        <w:rPr>
          <w:rFonts w:ascii="Times New Roman" w:hAnsi="Times New Roman" w:cs="Times New Roman"/>
          <w:sz w:val="22"/>
          <w:szCs w:val="22"/>
        </w:rPr>
        <w:t>1-3 year</w:t>
      </w:r>
      <w:proofErr w:type="gramEnd"/>
      <w:r w:rsidRPr="007565AC">
        <w:rPr>
          <w:rFonts w:ascii="Times New Roman" w:hAnsi="Times New Roman" w:cs="Times New Roman"/>
          <w:sz w:val="22"/>
          <w:szCs w:val="22"/>
        </w:rPr>
        <w:t xml:space="preserve"> track.</w:t>
      </w:r>
    </w:p>
    <w:p w:rsidR="00CC12C9" w:rsidRPr="007565AC" w:rsidRDefault="00CC12C9" w:rsidP="00CC12C9">
      <w:pPr>
        <w:pStyle w:val="Default"/>
        <w:rPr>
          <w:rFonts w:ascii="Times New Roman" w:hAnsi="Times New Roman" w:cs="Times New Roman"/>
          <w:sz w:val="22"/>
          <w:szCs w:val="22"/>
        </w:rPr>
      </w:pPr>
    </w:p>
    <w:p w:rsidR="00CC12C9" w:rsidRPr="007565AC" w:rsidRDefault="00CC12C9" w:rsidP="00CC12C9">
      <w:pPr>
        <w:pStyle w:val="Default"/>
        <w:spacing w:after="30"/>
        <w:rPr>
          <w:rFonts w:ascii="Times New Roman" w:hAnsi="Times New Roman" w:cs="Times New Roman"/>
          <w:sz w:val="22"/>
          <w:szCs w:val="22"/>
        </w:rPr>
      </w:pPr>
      <w:r w:rsidRPr="007565AC">
        <w:rPr>
          <w:rFonts w:ascii="Times New Roman" w:hAnsi="Times New Roman" w:cs="Times New Roman"/>
          <w:sz w:val="22"/>
          <w:szCs w:val="22"/>
        </w:rPr>
        <w:t xml:space="preserve">The candidate will have a primary academic appointment in the BWH Division of General Internal Medicine, with a secondary appointment in the Division of Global Health Equity, and an appointment as Instructor in Medicine at Harvard Medical School.  </w:t>
      </w:r>
    </w:p>
    <w:p w:rsidR="00CC12C9" w:rsidRPr="007565AC" w:rsidRDefault="00CC12C9" w:rsidP="00CC12C9">
      <w:pPr>
        <w:pStyle w:val="Default"/>
        <w:rPr>
          <w:rFonts w:ascii="Times New Roman" w:hAnsi="Times New Roman" w:cs="Times New Roman"/>
          <w:sz w:val="22"/>
          <w:szCs w:val="22"/>
        </w:rPr>
      </w:pPr>
    </w:p>
    <w:p w:rsidR="00CC12C9" w:rsidRPr="007565AC" w:rsidRDefault="00CC12C9" w:rsidP="00CC12C9">
      <w:pPr>
        <w:pStyle w:val="Default"/>
        <w:rPr>
          <w:rFonts w:ascii="Times New Roman" w:hAnsi="Times New Roman" w:cs="Times New Roman"/>
          <w:b/>
          <w:sz w:val="22"/>
          <w:szCs w:val="22"/>
        </w:rPr>
      </w:pPr>
      <w:r w:rsidRPr="007565AC">
        <w:rPr>
          <w:rFonts w:ascii="Times New Roman" w:hAnsi="Times New Roman" w:cs="Times New Roman"/>
          <w:b/>
          <w:sz w:val="22"/>
          <w:szCs w:val="22"/>
        </w:rPr>
        <w:t xml:space="preserve">Educational opportunities of the position include: </w:t>
      </w:r>
    </w:p>
    <w:p w:rsidR="00CC12C9" w:rsidRPr="007565AC" w:rsidRDefault="00CC12C9" w:rsidP="00CC12C9">
      <w:pPr>
        <w:pStyle w:val="Default"/>
        <w:numPr>
          <w:ilvl w:val="0"/>
          <w:numId w:val="3"/>
        </w:numPr>
        <w:spacing w:after="30"/>
        <w:rPr>
          <w:rFonts w:ascii="Times New Roman" w:hAnsi="Times New Roman" w:cs="Times New Roman"/>
          <w:sz w:val="22"/>
          <w:szCs w:val="22"/>
        </w:rPr>
      </w:pPr>
      <w:r w:rsidRPr="007565AC">
        <w:rPr>
          <w:rFonts w:ascii="Times New Roman" w:hAnsi="Times New Roman" w:cs="Times New Roman"/>
          <w:sz w:val="22"/>
          <w:szCs w:val="22"/>
        </w:rPr>
        <w:t xml:space="preserve">Participation in the Hospital Medicine Unit’s highly rated annual “Update in Hospital Medicine” Course </w:t>
      </w:r>
    </w:p>
    <w:p w:rsidR="00CC12C9" w:rsidRPr="007565AC" w:rsidRDefault="00CC12C9" w:rsidP="00CC12C9">
      <w:pPr>
        <w:pStyle w:val="Default"/>
        <w:numPr>
          <w:ilvl w:val="0"/>
          <w:numId w:val="3"/>
        </w:numPr>
        <w:spacing w:after="30"/>
        <w:rPr>
          <w:rFonts w:ascii="Times New Roman" w:hAnsi="Times New Roman" w:cs="Times New Roman"/>
          <w:sz w:val="22"/>
          <w:szCs w:val="22"/>
        </w:rPr>
      </w:pPr>
      <w:r w:rsidRPr="007565AC">
        <w:rPr>
          <w:rFonts w:ascii="Times New Roman" w:hAnsi="Times New Roman" w:cs="Times New Roman"/>
          <w:sz w:val="22"/>
          <w:szCs w:val="22"/>
        </w:rPr>
        <w:t xml:space="preserve">Participation in Global Health Equity’s annual “Global Health CME” Course </w:t>
      </w:r>
    </w:p>
    <w:p w:rsidR="00CC12C9" w:rsidRPr="007565AC" w:rsidRDefault="00CC12C9" w:rsidP="00CC12C9">
      <w:pPr>
        <w:pStyle w:val="Default"/>
        <w:numPr>
          <w:ilvl w:val="0"/>
          <w:numId w:val="3"/>
        </w:numPr>
        <w:spacing w:after="30"/>
        <w:rPr>
          <w:rFonts w:ascii="Times New Roman" w:hAnsi="Times New Roman" w:cs="Times New Roman"/>
          <w:sz w:val="22"/>
          <w:szCs w:val="22"/>
        </w:rPr>
      </w:pPr>
      <w:r w:rsidRPr="007565AC">
        <w:rPr>
          <w:rFonts w:ascii="Times New Roman" w:hAnsi="Times New Roman" w:cs="Times New Roman"/>
          <w:sz w:val="22"/>
          <w:szCs w:val="22"/>
        </w:rPr>
        <w:t xml:space="preserve">Weekly CME conferences in Hospital Medicine </w:t>
      </w:r>
    </w:p>
    <w:p w:rsidR="00CC12C9" w:rsidRPr="007565AC" w:rsidRDefault="00CC12C9" w:rsidP="00CC12C9">
      <w:pPr>
        <w:pStyle w:val="Default"/>
        <w:numPr>
          <w:ilvl w:val="0"/>
          <w:numId w:val="3"/>
        </w:numPr>
        <w:rPr>
          <w:rFonts w:ascii="Times New Roman" w:hAnsi="Times New Roman" w:cs="Times New Roman"/>
          <w:sz w:val="22"/>
          <w:szCs w:val="22"/>
        </w:rPr>
      </w:pPr>
      <w:r w:rsidRPr="007565AC">
        <w:rPr>
          <w:rFonts w:ascii="Times New Roman" w:hAnsi="Times New Roman" w:cs="Times New Roman"/>
          <w:sz w:val="22"/>
          <w:szCs w:val="22"/>
        </w:rPr>
        <w:t xml:space="preserve">Department of Medicine Grand Rounds </w:t>
      </w:r>
    </w:p>
    <w:p w:rsidR="00CC12C9" w:rsidRPr="007565AC" w:rsidRDefault="00CC12C9" w:rsidP="00CC12C9">
      <w:pPr>
        <w:pStyle w:val="Default"/>
        <w:numPr>
          <w:ilvl w:val="0"/>
          <w:numId w:val="3"/>
        </w:numPr>
        <w:spacing w:after="30"/>
        <w:rPr>
          <w:rFonts w:ascii="Times New Roman" w:hAnsi="Times New Roman" w:cs="Times New Roman"/>
          <w:sz w:val="22"/>
          <w:szCs w:val="22"/>
        </w:rPr>
      </w:pPr>
      <w:r w:rsidRPr="007565AC">
        <w:rPr>
          <w:rFonts w:ascii="Times New Roman" w:hAnsi="Times New Roman" w:cs="Times New Roman"/>
          <w:sz w:val="22"/>
          <w:szCs w:val="22"/>
        </w:rPr>
        <w:t xml:space="preserve">Designated Hospital Medicine mentor </w:t>
      </w:r>
    </w:p>
    <w:p w:rsidR="00CC12C9" w:rsidRPr="007565AC" w:rsidRDefault="00CC12C9" w:rsidP="00CC12C9">
      <w:pPr>
        <w:pStyle w:val="Default"/>
        <w:numPr>
          <w:ilvl w:val="0"/>
          <w:numId w:val="3"/>
        </w:numPr>
        <w:rPr>
          <w:rFonts w:ascii="Times New Roman" w:hAnsi="Times New Roman" w:cs="Times New Roman"/>
          <w:sz w:val="22"/>
          <w:szCs w:val="22"/>
        </w:rPr>
      </w:pPr>
      <w:r w:rsidRPr="007565AC">
        <w:rPr>
          <w:rFonts w:ascii="Times New Roman" w:hAnsi="Times New Roman" w:cs="Times New Roman"/>
          <w:sz w:val="22"/>
          <w:szCs w:val="22"/>
        </w:rPr>
        <w:t xml:space="preserve">Designated Global Health mentor </w:t>
      </w:r>
    </w:p>
    <w:p w:rsidR="00CC12C9" w:rsidRPr="007565AC" w:rsidRDefault="00CC12C9" w:rsidP="00CC12C9">
      <w:pPr>
        <w:pStyle w:val="Default"/>
        <w:numPr>
          <w:ilvl w:val="0"/>
          <w:numId w:val="3"/>
        </w:numPr>
        <w:rPr>
          <w:rFonts w:ascii="Times New Roman" w:hAnsi="Times New Roman" w:cs="Times New Roman"/>
          <w:sz w:val="22"/>
          <w:szCs w:val="22"/>
        </w:rPr>
      </w:pPr>
      <w:r w:rsidRPr="007565AC">
        <w:rPr>
          <w:rFonts w:ascii="Times New Roman" w:hAnsi="Times New Roman" w:cs="Times New Roman"/>
          <w:sz w:val="22"/>
          <w:szCs w:val="22"/>
        </w:rPr>
        <w:t xml:space="preserve">Quarterly global health research workshops focusing on statistical analysis, quality improvement, implementation science, and study design </w:t>
      </w:r>
    </w:p>
    <w:p w:rsidR="00CC12C9" w:rsidRPr="007565AC" w:rsidRDefault="00CC12C9" w:rsidP="00CC12C9">
      <w:pPr>
        <w:pStyle w:val="ListParagraph"/>
        <w:numPr>
          <w:ilvl w:val="0"/>
          <w:numId w:val="3"/>
        </w:numPr>
        <w:autoSpaceDE w:val="0"/>
        <w:autoSpaceDN w:val="0"/>
        <w:adjustRightInd w:val="0"/>
        <w:spacing w:after="30" w:line="240" w:lineRule="auto"/>
        <w:rPr>
          <w:rFonts w:ascii="Times New Roman" w:hAnsi="Times New Roman" w:cs="Times New Roman"/>
          <w:color w:val="000000"/>
        </w:rPr>
      </w:pPr>
      <w:r w:rsidRPr="007565AC">
        <w:rPr>
          <w:rFonts w:ascii="Times New Roman" w:hAnsi="Times New Roman" w:cs="Times New Roman"/>
          <w:color w:val="000000"/>
        </w:rPr>
        <w:t xml:space="preserve">Monthly Partnership grands rounds in Global Health Equity </w:t>
      </w:r>
    </w:p>
    <w:p w:rsidR="00CC12C9" w:rsidRPr="007565AC" w:rsidRDefault="00CC12C9" w:rsidP="00CC12C9">
      <w:pPr>
        <w:pStyle w:val="ListParagraph"/>
        <w:numPr>
          <w:ilvl w:val="0"/>
          <w:numId w:val="3"/>
        </w:numPr>
        <w:autoSpaceDE w:val="0"/>
        <w:autoSpaceDN w:val="0"/>
        <w:adjustRightInd w:val="0"/>
        <w:spacing w:after="30" w:line="240" w:lineRule="auto"/>
        <w:rPr>
          <w:rFonts w:ascii="Times New Roman" w:hAnsi="Times New Roman" w:cs="Times New Roman"/>
          <w:color w:val="000000"/>
        </w:rPr>
      </w:pPr>
      <w:r w:rsidRPr="007565AC">
        <w:rPr>
          <w:rFonts w:ascii="Times New Roman" w:hAnsi="Times New Roman" w:cs="Times New Roman"/>
          <w:color w:val="000000"/>
        </w:rPr>
        <w:t xml:space="preserve">Opportunities to interact with trainees in the Global Health Equity Residency </w:t>
      </w:r>
    </w:p>
    <w:p w:rsidR="00CC12C9" w:rsidRPr="007565AC" w:rsidRDefault="00CC12C9" w:rsidP="00CC12C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7565AC">
        <w:rPr>
          <w:rFonts w:ascii="Times New Roman" w:hAnsi="Times New Roman" w:cs="Times New Roman"/>
          <w:color w:val="000000"/>
        </w:rPr>
        <w:t xml:space="preserve">Opportunity to participate in Global Health Equity’s Introduction to Social Medicine Boot Camp (in Haiti) </w:t>
      </w:r>
    </w:p>
    <w:p w:rsidR="00CC12C9" w:rsidRPr="007565AC" w:rsidRDefault="00CC12C9" w:rsidP="00CC12C9">
      <w:pPr>
        <w:pStyle w:val="Default"/>
        <w:spacing w:after="30"/>
        <w:rPr>
          <w:rFonts w:ascii="Times New Roman" w:hAnsi="Times New Roman" w:cs="Times New Roman"/>
          <w:sz w:val="22"/>
          <w:szCs w:val="22"/>
        </w:rPr>
      </w:pPr>
    </w:p>
    <w:p w:rsidR="00CC12C9" w:rsidRPr="00543DA8" w:rsidRDefault="00CC12C9" w:rsidP="00CC12C9">
      <w:pPr>
        <w:pStyle w:val="Default"/>
        <w:spacing w:after="30"/>
        <w:rPr>
          <w:rFonts w:ascii="Times New Roman" w:hAnsi="Times New Roman" w:cs="Times New Roman"/>
          <w:sz w:val="22"/>
          <w:szCs w:val="22"/>
        </w:rPr>
      </w:pPr>
      <w:r w:rsidRPr="00543DA8">
        <w:rPr>
          <w:rFonts w:ascii="Times New Roman" w:hAnsi="Times New Roman" w:cs="Times New Roman"/>
          <w:b/>
          <w:sz w:val="22"/>
          <w:szCs w:val="22"/>
        </w:rPr>
        <w:t>Qualifications:</w:t>
      </w:r>
      <w:r w:rsidRPr="00543DA8">
        <w:rPr>
          <w:rFonts w:ascii="Times New Roman" w:hAnsi="Times New Roman" w:cs="Times New Roman"/>
          <w:b/>
          <w:sz w:val="22"/>
          <w:szCs w:val="22"/>
        </w:rPr>
        <w:br/>
      </w:r>
      <w:r w:rsidRPr="00543DA8">
        <w:rPr>
          <w:rFonts w:ascii="Times New Roman" w:hAnsi="Times New Roman" w:cs="Times New Roman"/>
          <w:sz w:val="22"/>
          <w:szCs w:val="22"/>
        </w:rPr>
        <w:t xml:space="preserve">Board </w:t>
      </w:r>
      <w:r w:rsidR="00543DA8" w:rsidRPr="00543DA8">
        <w:rPr>
          <w:rFonts w:ascii="Times New Roman" w:hAnsi="Times New Roman" w:cs="Times New Roman"/>
          <w:sz w:val="22"/>
          <w:szCs w:val="22"/>
        </w:rPr>
        <w:t>certified/Board eligible</w:t>
      </w:r>
      <w:r w:rsidRPr="00543DA8">
        <w:rPr>
          <w:rFonts w:ascii="Times New Roman" w:hAnsi="Times New Roman" w:cs="Times New Roman"/>
          <w:sz w:val="22"/>
          <w:szCs w:val="22"/>
        </w:rPr>
        <w:t xml:space="preserve"> in Internal Medicine</w:t>
      </w:r>
      <w:r w:rsidRPr="00543DA8">
        <w:rPr>
          <w:rFonts w:ascii="Times New Roman" w:hAnsi="Times New Roman" w:cs="Times New Roman"/>
          <w:sz w:val="22"/>
          <w:szCs w:val="22"/>
        </w:rPr>
        <w:br/>
      </w:r>
    </w:p>
    <w:p w:rsidR="00CC12C9" w:rsidRPr="00E84485" w:rsidRDefault="00CC12C9" w:rsidP="00CC12C9">
      <w:pPr>
        <w:pStyle w:val="Default"/>
        <w:rPr>
          <w:rFonts w:ascii="Times New Roman" w:hAnsi="Times New Roman" w:cs="Times New Roman"/>
          <w:sz w:val="22"/>
          <w:szCs w:val="22"/>
          <w:highlight w:val="yellow"/>
        </w:rPr>
      </w:pPr>
    </w:p>
    <w:p w:rsidR="00543DA8" w:rsidRPr="00994207" w:rsidRDefault="00CC12C9" w:rsidP="00CC12C9">
      <w:pPr>
        <w:pStyle w:val="Default"/>
        <w:spacing w:after="30"/>
        <w:rPr>
          <w:rFonts w:ascii="Times New Roman" w:hAnsi="Times New Roman" w:cs="Times New Roman"/>
          <w:sz w:val="21"/>
          <w:szCs w:val="21"/>
          <w:shd w:val="clear" w:color="auto" w:fill="FFFFFF"/>
        </w:rPr>
      </w:pPr>
      <w:r w:rsidRPr="00994207">
        <w:rPr>
          <w:rFonts w:ascii="Times New Roman" w:hAnsi="Times New Roman" w:cs="Times New Roman"/>
          <w:b/>
          <w:sz w:val="22"/>
          <w:szCs w:val="22"/>
        </w:rPr>
        <w:t>Benefits</w:t>
      </w:r>
      <w:r w:rsidRPr="00994207">
        <w:rPr>
          <w:rFonts w:ascii="Times New Roman" w:hAnsi="Times New Roman" w:cs="Times New Roman"/>
          <w:sz w:val="22"/>
          <w:szCs w:val="22"/>
        </w:rPr>
        <w:t>:</w:t>
      </w:r>
      <w:r w:rsidRPr="00994207">
        <w:rPr>
          <w:rFonts w:ascii="Times New Roman" w:hAnsi="Times New Roman" w:cs="Times New Roman"/>
          <w:sz w:val="22"/>
          <w:szCs w:val="22"/>
        </w:rPr>
        <w:br/>
      </w:r>
      <w:r w:rsidR="00994207">
        <w:rPr>
          <w:rFonts w:ascii="Times New Roman" w:hAnsi="Times New Roman" w:cs="Times New Roman"/>
          <w:sz w:val="21"/>
          <w:szCs w:val="21"/>
          <w:shd w:val="clear" w:color="auto" w:fill="FFFFFF"/>
        </w:rPr>
        <w:t>C</w:t>
      </w:r>
      <w:r w:rsidR="00543DA8" w:rsidRPr="00994207">
        <w:rPr>
          <w:rFonts w:ascii="Times New Roman" w:hAnsi="Times New Roman" w:cs="Times New Roman"/>
          <w:sz w:val="21"/>
          <w:szCs w:val="21"/>
          <w:shd w:val="clear" w:color="auto" w:fill="FFFFFF"/>
        </w:rPr>
        <w:t>ompetitive salaries and benefit programs</w:t>
      </w:r>
      <w:r w:rsidR="00543DA8" w:rsidRPr="00994207">
        <w:rPr>
          <w:rFonts w:ascii="Times New Roman" w:hAnsi="Times New Roman" w:cs="Times New Roman"/>
          <w:sz w:val="21"/>
          <w:szCs w:val="21"/>
          <w:shd w:val="clear" w:color="auto" w:fill="FFFFFF"/>
        </w:rPr>
        <w:br/>
      </w:r>
      <w:r w:rsidRPr="00994207">
        <w:rPr>
          <w:rFonts w:ascii="Times New Roman" w:hAnsi="Times New Roman" w:cs="Times New Roman"/>
          <w:sz w:val="22"/>
          <w:szCs w:val="22"/>
        </w:rPr>
        <w:lastRenderedPageBreak/>
        <w:t xml:space="preserve">Coverage for malpractice, Massachusetts licensing and DEA fees </w:t>
      </w:r>
      <w:r w:rsidR="00543DA8" w:rsidRPr="00994207">
        <w:rPr>
          <w:rFonts w:ascii="Times New Roman" w:hAnsi="Times New Roman" w:cs="Times New Roman"/>
          <w:sz w:val="22"/>
          <w:szCs w:val="22"/>
        </w:rPr>
        <w:br/>
      </w:r>
      <w:r w:rsidR="00543DA8" w:rsidRPr="00994207">
        <w:rPr>
          <w:rFonts w:ascii="Times New Roman" w:hAnsi="Times New Roman" w:cs="Times New Roman"/>
          <w:sz w:val="21"/>
          <w:szCs w:val="21"/>
          <w:shd w:val="clear" w:color="auto" w:fill="FFFFFF"/>
        </w:rPr>
        <w:t>W</w:t>
      </w:r>
      <w:r w:rsidR="00543DA8" w:rsidRPr="00994207">
        <w:rPr>
          <w:rFonts w:ascii="Times New Roman" w:hAnsi="Times New Roman" w:cs="Times New Roman"/>
          <w:sz w:val="21"/>
          <w:szCs w:val="21"/>
          <w:shd w:val="clear" w:color="auto" w:fill="FFFFFF"/>
        </w:rPr>
        <w:t xml:space="preserve">orld-class integrated specialty network </w:t>
      </w:r>
    </w:p>
    <w:p w:rsidR="00CC12C9" w:rsidRPr="00994207" w:rsidRDefault="00543DA8" w:rsidP="00CC12C9">
      <w:pPr>
        <w:pStyle w:val="Default"/>
        <w:spacing w:after="30"/>
        <w:rPr>
          <w:rFonts w:ascii="Times New Roman" w:hAnsi="Times New Roman" w:cs="Times New Roman"/>
          <w:sz w:val="22"/>
          <w:szCs w:val="22"/>
        </w:rPr>
      </w:pPr>
      <w:r w:rsidRPr="00994207">
        <w:rPr>
          <w:rFonts w:ascii="Times New Roman" w:hAnsi="Times New Roman" w:cs="Times New Roman"/>
          <w:sz w:val="21"/>
          <w:szCs w:val="21"/>
          <w:shd w:val="clear" w:color="auto" w:fill="FFFFFF"/>
        </w:rPr>
        <w:t>P</w:t>
      </w:r>
      <w:r w:rsidRPr="00994207">
        <w:rPr>
          <w:rFonts w:ascii="Times New Roman" w:hAnsi="Times New Roman" w:cs="Times New Roman"/>
          <w:sz w:val="21"/>
          <w:szCs w:val="21"/>
          <w:shd w:val="clear" w:color="auto" w:fill="FFFFFF"/>
        </w:rPr>
        <w:t>rofessional development programs</w:t>
      </w:r>
    </w:p>
    <w:p w:rsidR="00CC12C9" w:rsidRPr="00994207" w:rsidRDefault="00CC12C9" w:rsidP="00994207">
      <w:pPr>
        <w:pStyle w:val="Default"/>
        <w:spacing w:after="30"/>
        <w:rPr>
          <w:rFonts w:ascii="Times New Roman" w:hAnsi="Times New Roman" w:cs="Times New Roman"/>
          <w:sz w:val="22"/>
          <w:szCs w:val="22"/>
        </w:rPr>
      </w:pPr>
      <w:r w:rsidRPr="00994207">
        <w:rPr>
          <w:rFonts w:ascii="Times New Roman" w:hAnsi="Times New Roman" w:cs="Times New Roman"/>
          <w:sz w:val="22"/>
          <w:szCs w:val="22"/>
        </w:rPr>
        <w:t xml:space="preserve">International evacuation insurance </w:t>
      </w:r>
      <w:r w:rsidR="00994207">
        <w:rPr>
          <w:rFonts w:ascii="Times New Roman" w:hAnsi="Times New Roman" w:cs="Times New Roman"/>
          <w:sz w:val="22"/>
          <w:szCs w:val="22"/>
        </w:rPr>
        <w:br/>
      </w:r>
      <w:bookmarkStart w:id="0" w:name="_GoBack"/>
      <w:bookmarkEnd w:id="0"/>
    </w:p>
    <w:p w:rsidR="00543DA8" w:rsidRPr="00994207" w:rsidRDefault="00543DA8" w:rsidP="00F8065C">
      <w:pPr>
        <w:rPr>
          <w:rFonts w:ascii="Times New Roman" w:hAnsi="Times New Roman" w:cs="Times New Roman"/>
        </w:rPr>
      </w:pPr>
      <w:r w:rsidRPr="00994207">
        <w:rPr>
          <w:rFonts w:ascii="Times New Roman" w:hAnsi="Times New Roman" w:cs="Times New Roman"/>
        </w:rPr>
        <w:t xml:space="preserve">BWH is </w:t>
      </w:r>
      <w:r w:rsidRPr="00994207">
        <w:rPr>
          <w:rFonts w:ascii="Times New Roman" w:hAnsi="Times New Roman" w:cs="Times New Roman"/>
          <w:sz w:val="21"/>
          <w:szCs w:val="21"/>
          <w:shd w:val="clear" w:color="auto" w:fill="FFFFFF"/>
        </w:rPr>
        <w:t>an equal opportunity employer and all qualified applicants</w:t>
      </w:r>
      <w:r w:rsidRPr="00994207">
        <w:rPr>
          <w:rStyle w:val="wbzude"/>
          <w:rFonts w:ascii="Times New Roman" w:hAnsi="Times New Roman" w:cs="Times New Roman"/>
          <w:sz w:val="21"/>
          <w:szCs w:val="21"/>
          <w:shd w:val="clear" w:color="auto" w:fill="FFFFFF"/>
        </w:rPr>
        <w:t xml:space="preserve"> will receive consideration for employment without regard to race, color, religion, sex, sexual orientation, gender identity, national origin, disability status, protected veteran status, pregnancy and pregnancy-related conditions or any other characteristic protected by law.</w:t>
      </w:r>
    </w:p>
    <w:p w:rsidR="00CC12C9" w:rsidRPr="007565AC" w:rsidRDefault="00CC12C9" w:rsidP="00F8065C">
      <w:pPr>
        <w:rPr>
          <w:rFonts w:ascii="Times New Roman" w:hAnsi="Times New Roman" w:cs="Times New Roman"/>
        </w:rPr>
      </w:pPr>
      <w:r w:rsidRPr="00994207">
        <w:rPr>
          <w:rFonts w:ascii="Times New Roman" w:hAnsi="Times New Roman" w:cs="Times New Roman"/>
          <w:b/>
        </w:rPr>
        <w:t xml:space="preserve">To apply: </w:t>
      </w:r>
      <w:r w:rsidRPr="00994207">
        <w:rPr>
          <w:rFonts w:ascii="Times New Roman" w:hAnsi="Times New Roman" w:cs="Times New Roman"/>
          <w:b/>
        </w:rPr>
        <w:br/>
      </w:r>
      <w:r w:rsidRPr="007565AC">
        <w:rPr>
          <w:rFonts w:ascii="Times New Roman" w:hAnsi="Times New Roman" w:cs="Times New Roman"/>
        </w:rPr>
        <w:t>Please forward your letter or interest and CV to Peter Rohloff at prohloff@bwh.harvard.edu</w:t>
      </w:r>
    </w:p>
    <w:sectPr w:rsidR="00CC12C9" w:rsidRPr="0075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4734D"/>
    <w:multiLevelType w:val="hybridMultilevel"/>
    <w:tmpl w:val="670CD434"/>
    <w:lvl w:ilvl="0" w:tplc="5C4E819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257A4"/>
    <w:multiLevelType w:val="hybridMultilevel"/>
    <w:tmpl w:val="DAB84A9A"/>
    <w:lvl w:ilvl="0" w:tplc="5BA08E96">
      <w:start w:val="1"/>
      <w:numFmt w:val="bullet"/>
      <w:lvlText w:val="-"/>
      <w:lvlJc w:val="left"/>
      <w:pPr>
        <w:ind w:left="720" w:hanging="360"/>
      </w:pPr>
      <w:rPr>
        <w:rFonts w:ascii="Garamond" w:eastAsiaTheme="minorHAnsi" w:hAnsi="Garamond" w:cs="Garamond"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55260"/>
    <w:multiLevelType w:val="hybridMultilevel"/>
    <w:tmpl w:val="B60427BC"/>
    <w:lvl w:ilvl="0" w:tplc="5BA08E96">
      <w:start w:val="1"/>
      <w:numFmt w:val="bullet"/>
      <w:lvlText w:val="-"/>
      <w:lvlJc w:val="left"/>
      <w:pPr>
        <w:ind w:left="720" w:hanging="360"/>
      </w:pPr>
      <w:rPr>
        <w:rFonts w:ascii="Garamond" w:eastAsiaTheme="minorHAnsi" w:hAnsi="Garamond" w:cs="Garamond"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5C"/>
    <w:rsid w:val="00543DA8"/>
    <w:rsid w:val="007565AC"/>
    <w:rsid w:val="00994207"/>
    <w:rsid w:val="00CC12C9"/>
    <w:rsid w:val="00DA6197"/>
    <w:rsid w:val="00E84485"/>
    <w:rsid w:val="00F8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0E216B"/>
  <w15:chartTrackingRefBased/>
  <w15:docId w15:val="{CA5662EF-1A93-4259-9284-7727F88C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65C"/>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CC12C9"/>
    <w:pPr>
      <w:ind w:left="720"/>
      <w:contextualSpacing/>
    </w:pPr>
  </w:style>
  <w:style w:type="character" w:customStyle="1" w:styleId="wbzude">
    <w:name w:val="wbzude"/>
    <w:basedOn w:val="DefaultParagraphFont"/>
    <w:rsid w:val="0054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Jennifer K.</dc:creator>
  <cp:keywords/>
  <dc:description/>
  <cp:lastModifiedBy>Goldsmith, Jennifer K.</cp:lastModifiedBy>
  <cp:revision>3</cp:revision>
  <dcterms:created xsi:type="dcterms:W3CDTF">2018-09-26T17:34:00Z</dcterms:created>
  <dcterms:modified xsi:type="dcterms:W3CDTF">2018-10-01T19:42:00Z</dcterms:modified>
</cp:coreProperties>
</file>